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320040" distL="275590" distR="285115" simplePos="0" relativeHeight="125829378" behindDoc="0" locked="0" layoutInCell="1" allowOverlap="1">
            <wp:simplePos x="0" y="0"/>
            <wp:positionH relativeFrom="page">
              <wp:posOffset>944245</wp:posOffset>
            </wp:positionH>
            <wp:positionV relativeFrom="paragraph">
              <wp:posOffset>12700</wp:posOffset>
            </wp:positionV>
            <wp:extent cx="640080" cy="408305"/>
            <wp:wrapSquare wrapText="bothSides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640080" cy="40830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782955</wp:posOffset>
                </wp:positionH>
                <wp:positionV relativeFrom="paragraph">
                  <wp:posOffset>481965</wp:posOffset>
                </wp:positionV>
                <wp:extent cx="972185" cy="25908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72185" cy="2590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 xml:space="preserve">CIDADE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DE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18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sz w:val="22"/>
                                <w:szCs w:val="22"/>
                              </w:rPr>
                              <w:t>GUARULHOS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61.649999999999999pt;margin-top:37.950000000000003pt;width:76.549999999999997pt;height:20.400000000000002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 xml:space="preserve">CIDADE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DE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18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sz w:val="22"/>
                          <w:szCs w:val="22"/>
                        </w:rPr>
                        <w:t>GUARULHOS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25829379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ragraph">
                  <wp:posOffset>1402080</wp:posOffset>
                </wp:positionV>
                <wp:extent cx="722630" cy="158750"/>
                <wp:wrapSquare wrapText="bothSides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22630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6"/>
                                <w:b/>
                                <w:bCs/>
                                <w:color w:val="1E1E1E"/>
                                <w:sz w:val="20"/>
                                <w:szCs w:val="20"/>
                              </w:rPr>
                              <w:t>ENTIDADE: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51.800000000000004pt;margin-top:110.40000000000001pt;width:56.899999999999999pt;height:12.5pt;z-index:-125829374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6"/>
                          <w:b/>
                          <w:bCs/>
                          <w:color w:val="1E1E1E"/>
                          <w:sz w:val="20"/>
                          <w:szCs w:val="20"/>
                        </w:rPr>
                        <w:t>ENTIDADE: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  <w:rPr>
          <w:sz w:val="20"/>
          <w:szCs w:val="20"/>
        </w:rPr>
      </w:pPr>
      <w:r>
        <w:rPr>
          <w:rStyle w:val="CharStyle6"/>
          <w:b/>
          <w:bCs/>
          <w:color w:val="1E1E1E"/>
          <w:sz w:val="20"/>
          <w:szCs w:val="20"/>
        </w:rPr>
        <w:t>PREFEITURA DE GUARULHOS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  <w:rPr>
          <w:sz w:val="20"/>
          <w:szCs w:val="20"/>
        </w:rPr>
      </w:pPr>
      <w:r>
        <w:rPr>
          <w:rStyle w:val="CharStyle6"/>
          <w:b/>
          <w:bCs/>
          <w:color w:val="1E1E1E"/>
          <w:sz w:val="20"/>
          <w:szCs w:val="20"/>
        </w:rPr>
        <w:t>SECRETARIA DE EDUCAÇÃO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140"/>
        <w:jc w:val="left"/>
        <w:rPr>
          <w:sz w:val="20"/>
          <w:szCs w:val="20"/>
        </w:rPr>
      </w:pPr>
      <w:r>
        <w:rPr>
          <w:rStyle w:val="CharStyle6"/>
          <w:b/>
          <w:bCs/>
          <w:color w:val="1E1E1E"/>
          <w:sz w:val="20"/>
          <w:szCs w:val="20"/>
        </w:rPr>
        <w:t>DEPARTAMENTO DE PLANEJAMENTO DA EDUCAÇÃO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320" w:line="240" w:lineRule="auto"/>
        <w:ind w:left="1720" w:right="0" w:firstLine="0"/>
        <w:jc w:val="left"/>
      </w:pPr>
      <w:bookmarkStart w:id="0" w:name="bookmark0"/>
      <w:r>
        <w:rPr>
          <w:rStyle w:val="CharStyle12"/>
          <w:b/>
          <w:bCs/>
        </w:rPr>
        <w:t xml:space="preserve">PARECER CONCLUSIVO N°. </w:t>
      </w:r>
      <w:r>
        <w:rPr>
          <w:rStyle w:val="CharStyle12"/>
          <w:b/>
          <w:bCs/>
          <w:lang w:val="en-US" w:eastAsia="en-US" w:bidi="en-US"/>
        </w:rPr>
        <w:t>0101/2024</w:t>
      </w:r>
      <w:bookmarkEnd w:id="0"/>
    </w:p>
    <w:p>
      <w:pPr>
        <w:pStyle w:val="Style5"/>
        <w:keepNext w:val="0"/>
        <w:keepLines w:val="0"/>
        <w:widowControl w:val="0"/>
        <w:shd w:val="clear" w:color="auto" w:fill="auto"/>
        <w:tabs>
          <w:tab w:pos="906" w:val="left"/>
        </w:tabs>
        <w:bidi w:val="0"/>
        <w:spacing w:before="0" w:after="200" w:line="240" w:lineRule="auto"/>
        <w:ind w:left="0" w:right="0" w:hanging="1460"/>
        <w:jc w:val="left"/>
      </w:pPr>
      <w:r>
        <w:rPr>
          <w:rStyle w:val="CharStyle6"/>
          <w:b/>
          <w:bCs/>
          <w:color w:val="1E1E1E"/>
          <w:sz w:val="20"/>
          <w:szCs w:val="20"/>
        </w:rPr>
        <w:t>Exercício/Ano:</w:t>
        <w:tab/>
      </w:r>
      <w:r>
        <w:rPr>
          <w:rStyle w:val="CharStyle6"/>
          <w:lang w:val="en-US" w:eastAsia="en-US" w:bidi="en-US"/>
        </w:rPr>
        <w:t>2024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20"/>
        <w:jc w:val="left"/>
        <w:sectPr>
          <w:footerReference w:type="default" r:id="rId7"/>
          <w:footnotePr>
            <w:pos w:val="pageBottom"/>
            <w:numFmt w:val="decimal"/>
            <w:numRestart w:val="continuous"/>
          </w:footnotePr>
          <w:pgSz w:w="11909" w:h="16838"/>
          <w:pgMar w:top="499" w:right="557" w:bottom="909" w:left="2496" w:header="71" w:footer="3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6"/>
        </w:rPr>
        <w:t xml:space="preserve">IECE - Instituição Educacional Cidadania </w:t>
      </w:r>
      <w:r>
        <w:rPr>
          <w:rStyle w:val="CharStyle6"/>
          <w:color w:val="1E1E1E"/>
        </w:rPr>
        <w:t xml:space="preserve">e </w:t>
      </w:r>
      <w:r>
        <w:rPr>
          <w:rStyle w:val="CharStyle6"/>
        </w:rPr>
        <w:t>Esporte -</w:t>
      </w:r>
      <w:r>
        <w:rPr>
          <w:rStyle w:val="CharStyle6"/>
          <w:color w:val="1E1E1E"/>
        </w:rPr>
        <w:t>1</w:t>
      </w:r>
    </w:p>
    <w:p>
      <w:pPr>
        <w:pStyle w:val="Style11"/>
        <w:keepNext/>
        <w:keepLines/>
        <w:framePr w:w="600" w:h="259" w:wrap="none" w:vAnchor="text" w:hAnchor="page" w:x="103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" w:name="bookmark2"/>
      <w:r>
        <w:rPr>
          <w:rStyle w:val="CharStyle12"/>
          <w:b/>
          <w:bCs/>
        </w:rPr>
        <w:t>CNPJ:</w:t>
      </w:r>
      <w:bookmarkEnd w:id="2"/>
    </w:p>
    <w:p>
      <w:pPr>
        <w:pStyle w:val="Style5"/>
        <w:keepNext w:val="0"/>
        <w:keepLines w:val="0"/>
        <w:framePr w:w="1901" w:h="240" w:wrap="none" w:vAnchor="text" w:hAnchor="page" w:x="3404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6"/>
          <w:lang w:val="en-US" w:eastAsia="en-US" w:bidi="en-US"/>
        </w:rPr>
        <w:t>21.221.657/0002-30</w:t>
      </w:r>
    </w:p>
    <w:p>
      <w:pPr>
        <w:widowControl w:val="0"/>
        <w:spacing w:after="258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9" w:h="16838"/>
          <w:pgMar w:top="499" w:right="557" w:bottom="375" w:left="979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98" w:lineRule="auto"/>
        <w:ind w:left="0" w:right="0" w:firstLine="0"/>
        <w:jc w:val="both"/>
      </w:pPr>
      <w:r>
        <w:rPr>
          <w:rStyle w:val="CharStyle6"/>
        </w:rPr>
        <w:t xml:space="preserve">Em cumprimento ao artigo </w:t>
      </w:r>
      <w:r>
        <w:rPr>
          <w:rStyle w:val="CharStyle6"/>
          <w:lang w:val="en-US" w:eastAsia="en-US" w:bidi="en-US"/>
        </w:rPr>
        <w:t xml:space="preserve">203 </w:t>
      </w:r>
      <w:r>
        <w:rPr>
          <w:rStyle w:val="CharStyle6"/>
        </w:rPr>
        <w:t xml:space="preserve">da Instrução Normativa </w:t>
      </w:r>
      <w:r>
        <w:rPr>
          <w:rStyle w:val="CharStyle6"/>
          <w:lang w:val="en-US" w:eastAsia="en-US" w:bidi="en-US"/>
        </w:rPr>
        <w:t xml:space="preserve">001 </w:t>
      </w:r>
      <w:r>
        <w:rPr>
          <w:rStyle w:val="CharStyle6"/>
        </w:rPr>
        <w:t xml:space="preserve">de </w:t>
      </w:r>
      <w:r>
        <w:rPr>
          <w:rStyle w:val="CharStyle6"/>
          <w:lang w:val="en-US" w:eastAsia="en-US" w:bidi="en-US"/>
        </w:rPr>
        <w:t xml:space="preserve">22 </w:t>
      </w:r>
      <w:r>
        <w:rPr>
          <w:rStyle w:val="CharStyle6"/>
        </w:rPr>
        <w:t xml:space="preserve">de maio de </w:t>
      </w:r>
      <w:r>
        <w:rPr>
          <w:rStyle w:val="CharStyle6"/>
          <w:lang w:val="en-US" w:eastAsia="en-US" w:bidi="en-US"/>
        </w:rPr>
        <w:t xml:space="preserve">2024 </w:t>
      </w:r>
      <w:r>
        <w:rPr>
          <w:rStyle w:val="CharStyle6"/>
        </w:rPr>
        <w:t>do Tribunal de Contas do Estado de São Paulo, emitimos o PARECER CONCLUSIVO do exercício, sobre a Prestação de Contas dos recursos repassados e aplicados pela Organização da Sociedade Civil, para fins de avaliação quanto à eficácia e efetividade das ações realizadas, e ATESTAMOS: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40" w:line="293" w:lineRule="auto"/>
        <w:ind w:left="0" w:right="0" w:firstLine="0"/>
        <w:jc w:val="both"/>
      </w:pPr>
      <w:r>
        <w:rPr>
          <w:rStyle w:val="CharStyle6"/>
          <w:lang w:val="en-US" w:eastAsia="en-US" w:bidi="en-US"/>
        </w:rPr>
        <w:t xml:space="preserve">I </w:t>
      </w:r>
      <w:r>
        <w:rPr>
          <w:rStyle w:val="CharStyle6"/>
        </w:rPr>
        <w:t>-1 - Que durante o exercício relativo à prestação de contas a Organização da Sociedade Civil esteve localizada e em regular funcionamento no desenvolvimento das suas atividades/projetos, condizentes com a sua finalidade estatutária, pactuadas com esta Administração, no endereço que segue: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2573" w:val="left"/>
        </w:tabs>
        <w:bidi w:val="0"/>
        <w:spacing w:before="0" w:after="0" w:line="276" w:lineRule="auto"/>
        <w:ind w:left="2620" w:right="0" w:hanging="2620"/>
        <w:jc w:val="both"/>
      </w:pPr>
      <w:r>
        <w:rPr>
          <w:rStyle w:val="CharStyle6"/>
          <w:b/>
          <w:bCs/>
          <w:sz w:val="20"/>
          <w:szCs w:val="20"/>
        </w:rPr>
        <w:t>Endereço:</w:t>
        <w:tab/>
      </w:r>
      <w:r>
        <w:rPr>
          <w:rStyle w:val="CharStyle6"/>
        </w:rPr>
        <w:t xml:space="preserve">Rua Doutor Jorge Queiroz de Morais, </w:t>
      </w:r>
      <w:r>
        <w:rPr>
          <w:rStyle w:val="CharStyle6"/>
          <w:lang w:val="en-US" w:eastAsia="en-US" w:bidi="en-US"/>
        </w:rPr>
        <w:t xml:space="preserve">73 </w:t>
      </w:r>
      <w:r>
        <w:rPr>
          <w:rStyle w:val="CharStyle6"/>
        </w:rPr>
        <w:t>- Parque Mikail - Guarulhos - SP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 w:line="262" w:lineRule="auto"/>
        <w:ind w:left="2620" w:right="0" w:hanging="2620"/>
        <w:jc w:val="both"/>
      </w:pPr>
      <w:r>
        <w:rPr>
          <w:rStyle w:val="CharStyle6"/>
          <w:b/>
          <w:bCs/>
          <w:sz w:val="20"/>
          <w:szCs w:val="20"/>
        </w:rPr>
        <w:t xml:space="preserve">Finalidade estatutária: </w:t>
      </w:r>
      <w:r>
        <w:rPr>
          <w:rStyle w:val="CharStyle6"/>
        </w:rPr>
        <w:t>Promover a realização de cursos e outras atividades em prol da educação, apoiar e incentivar o desenvolvimento de projetos de educação, educação infantil, escolarização de jovens e adultos.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40" w:line="288" w:lineRule="auto"/>
        <w:ind w:left="0" w:right="0" w:firstLine="0"/>
        <w:jc w:val="both"/>
      </w:pPr>
      <w:r>
        <w:rPr>
          <w:rStyle w:val="CharStyle6"/>
        </w:rPr>
        <w:t xml:space="preserve">II, </w:t>
      </w:r>
      <w:r>
        <w:rPr>
          <w:rStyle w:val="CharStyle6"/>
          <w:lang w:val="en-US" w:eastAsia="en-US" w:bidi="en-US"/>
        </w:rPr>
        <w:t xml:space="preserve">III, </w:t>
      </w:r>
      <w:r>
        <w:rPr>
          <w:rStyle w:val="CharStyle6"/>
        </w:rPr>
        <w:t>IV e V - Que cada data de repasse, empenho, número de empenho, valor transferido, saldo anterior, rendimento de aplicação financeira, e o valor total aplicado no objeto, eventuais devoluções de glosa e/ou ou saldo, o saldo reprogramado para o exercício seguinte, por fonte de recursos, se demonstra segundo cada ajuste, seu respectivo objeto e cada data de prestação de contas apresentadas pela Organização da Sociedade Civil, na forma que segue: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5" w:right="0" w:firstLine="0"/>
        <w:jc w:val="left"/>
      </w:pPr>
      <w:r>
        <w:rPr>
          <w:rStyle w:val="CharStyle20"/>
        </w:rPr>
        <w:t xml:space="preserve">TERMO DE COLABORAÇÃO n^ </w:t>
      </w:r>
      <w:r>
        <w:rPr>
          <w:rStyle w:val="CharStyle20"/>
          <w:lang w:val="en-US" w:eastAsia="en-US" w:bidi="en-US"/>
        </w:rPr>
        <w:t xml:space="preserve">16924/2018 </w:t>
      </w:r>
      <w:r>
        <w:rPr>
          <w:rStyle w:val="CharStyle20"/>
        </w:rPr>
        <w:t xml:space="preserve">Aditivos: </w:t>
      </w:r>
      <w:r>
        <w:rPr>
          <w:rStyle w:val="CharStyle20"/>
          <w:color w:val="1E1E1E"/>
        </w:rPr>
        <w:t>.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5" w:right="0" w:firstLine="0"/>
        <w:jc w:val="left"/>
      </w:pPr>
      <w:r>
        <w:rPr>
          <w:rStyle w:val="CharStyle20"/>
          <w:b/>
          <w:bCs/>
          <w:color w:val="1E1E1E"/>
          <w:sz w:val="20"/>
          <w:szCs w:val="20"/>
        </w:rPr>
        <w:t xml:space="preserve">Objeto: </w:t>
      </w:r>
      <w:r>
        <w:rPr>
          <w:rStyle w:val="CharStyle20"/>
        </w:rPr>
        <w:t>Oferta Regular de Educação Básica Infantil na Creche, inclusive Berçário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5" w:right="0" w:firstLine="0"/>
        <w:jc w:val="left"/>
      </w:pPr>
      <w:r>
        <w:rPr>
          <w:rStyle w:val="CharStyle20"/>
          <w:b/>
          <w:bCs/>
          <w:color w:val="1E1E1E"/>
          <w:sz w:val="20"/>
          <w:szCs w:val="20"/>
        </w:rPr>
        <w:t xml:space="preserve">Datas das Prestações de Contas Parciais: </w:t>
      </w:r>
      <w:r>
        <w:rPr>
          <w:rStyle w:val="CharStyle20"/>
        </w:rPr>
        <w:t xml:space="preserve">24/06/2024; 07/10/2024; </w:t>
      </w:r>
      <w:r>
        <w:rPr>
          <w:rStyle w:val="CharStyle20"/>
          <w:lang w:val="en-US" w:eastAsia="en-US" w:bidi="en-US"/>
        </w:rPr>
        <w:t>15/04/2025.</w:t>
      </w:r>
    </w:p>
    <w:tbl>
      <w:tblPr>
        <w:tblOverlap w:val="never"/>
        <w:jc w:val="center"/>
        <w:tblLayout w:type="fixed"/>
      </w:tblPr>
      <w:tblGrid>
        <w:gridCol w:w="3245"/>
        <w:gridCol w:w="2530"/>
        <w:gridCol w:w="1805"/>
        <w:gridCol w:w="2760"/>
      </w:tblGrid>
      <w:tr>
        <w:trPr>
          <w:trHeight w:val="5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Fontes de Recursos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sz w:val="20"/>
                <w:szCs w:val="20"/>
                <w:lang w:val="pt-PT" w:eastAsia="pt-PT" w:bidi="pt-PT"/>
              </w:rPr>
              <w:t>Datas dos Repasses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Números dos Empenhos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sz w:val="20"/>
                <w:szCs w:val="20"/>
                <w:lang w:val="pt-PT" w:eastAsia="pt-PT" w:bidi="pt-PT"/>
              </w:rPr>
              <w:t>Valores Transferidos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25/01/2024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</w:pPr>
            <w:r>
              <w:rPr>
                <w:rStyle w:val="CharStyle24"/>
              </w:rPr>
              <w:t>94.811,95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</w:pPr>
            <w:r>
              <w:rPr>
                <w:rStyle w:val="CharStyle24"/>
              </w:rPr>
              <w:t>95.137,58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</w:pPr>
            <w:r>
              <w:rPr>
                <w:rStyle w:val="CharStyle24"/>
              </w:rPr>
              <w:t>95.137,58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25/03/2024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4.096,00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</w:pPr>
            <w:r>
              <w:rPr>
                <w:rStyle w:val="CharStyle24"/>
              </w:rPr>
              <w:t>95.137,58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973/2024-6271/20</w:t>
            </w:r>
          </w:p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</w:pPr>
            <w:r>
              <w:rPr>
                <w:rStyle w:val="CharStyle24"/>
              </w:rPr>
              <w:t>11.377,56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</w:pPr>
            <w:r>
              <w:rPr>
                <w:rStyle w:val="CharStyle24"/>
              </w:rPr>
              <w:t>45.510,24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108.925,48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</w:t>
            </w:r>
            <w:r>
              <w:rPr>
                <w:rStyle w:val="CharStyle24"/>
              </w:rPr>
              <w:t xml:space="preserve">346-4 </w:t>
            </w:r>
            <w:r>
              <w:rPr>
                <w:rStyle w:val="CharStyle24"/>
                <w:lang w:val="pt-PT" w:eastAsia="pt-PT" w:bidi="pt-PT"/>
              </w:rPr>
              <w:t>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970/2024-6272/20</w:t>
            </w:r>
          </w:p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160.450,08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 xml:space="preserve">BB </w:t>
            </w:r>
            <w:r>
              <w:rPr>
                <w:rStyle w:val="CharStyle24"/>
              </w:rPr>
              <w:t xml:space="preserve">001 / </w:t>
            </w:r>
            <w:r>
              <w:rPr>
                <w:rStyle w:val="CharStyle24"/>
                <w:lang w:val="pt-PT" w:eastAsia="pt-PT" w:bidi="pt-PT"/>
              </w:rPr>
              <w:t xml:space="preserve">AG: </w:t>
            </w:r>
            <w:r>
              <w:rPr>
                <w:rStyle w:val="CharStyle24"/>
              </w:rPr>
              <w:t xml:space="preserve">7052-1 / </w:t>
            </w:r>
            <w:r>
              <w:rPr>
                <w:rStyle w:val="CharStyle24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03/07/2024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6272/2024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both"/>
            </w:pPr>
            <w:r>
              <w:rPr>
                <w:rStyle w:val="CharStyle24"/>
              </w:rPr>
              <w:t>16.049,40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7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bookmarkStart w:id="4" w:name="bookmark4"/>
      <w:r>
        <w:rPr>
          <w:rStyle w:val="CharStyle28"/>
          <w:rFonts w:ascii="Times New Roman" w:eastAsia="Times New Roman" w:hAnsi="Times New Roman" w:cs="Times New Roman"/>
          <w:sz w:val="50"/>
          <w:szCs w:val="50"/>
        </w:rPr>
        <w:t xml:space="preserve">ABM </w:t>
      </w:r>
      <w:r>
        <w:rPr>
          <w:rStyle w:val="CharStyle28"/>
          <w:smallCaps/>
          <w:lang w:val="pt-PT" w:eastAsia="pt-PT" w:bidi="pt-PT"/>
        </w:rPr>
        <w:t xml:space="preserve">prefeitura </w:t>
      </w:r>
      <w:r>
        <w:rPr>
          <w:rStyle w:val="CharStyle28"/>
          <w:smallCaps/>
        </w:rPr>
        <w:t>de guarulhos</w:t>
      </w:r>
      <w:bookmarkEnd w:id="4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11" w:lineRule="auto"/>
        <w:ind w:left="2120" w:right="0" w:firstLine="0"/>
        <w:jc w:val="both"/>
        <w:rPr>
          <w:sz w:val="20"/>
          <w:szCs w:val="20"/>
        </w:rPr>
      </w:pPr>
      <w:r>
        <w:rPr>
          <w:rStyle w:val="CharStyle6"/>
          <w:b/>
          <w:bCs/>
          <w:color w:val="1E1E1E"/>
          <w:sz w:val="20"/>
          <w:szCs w:val="20"/>
        </w:rPr>
        <w:t xml:space="preserve">SECRETARIA </w:t>
      </w:r>
      <w:r>
        <w:rPr>
          <w:rStyle w:val="CharStyle6"/>
          <w:b/>
          <w:bCs/>
          <w:color w:val="1E1E1E"/>
          <w:sz w:val="20"/>
          <w:szCs w:val="20"/>
          <w:lang w:val="en-US" w:eastAsia="en-US" w:bidi="en-US"/>
        </w:rPr>
        <w:t xml:space="preserve">DE </w:t>
      </w:r>
      <w:r>
        <w:rPr>
          <w:rStyle w:val="CharStyle6"/>
          <w:b/>
          <w:bCs/>
          <w:color w:val="1E1E1E"/>
          <w:sz w:val="20"/>
          <w:szCs w:val="20"/>
        </w:rPr>
        <w:t>EDUCAÇÃO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line="211" w:lineRule="auto"/>
        <w:ind w:left="260" w:right="0" w:firstLine="0"/>
        <w:jc w:val="both"/>
      </w:pPr>
      <w:bookmarkStart w:id="6" w:name="bookmark6"/>
      <w:r>
        <w:rPr>
          <w:rStyle w:val="CharStyle12"/>
          <w:sz w:val="11"/>
          <w:szCs w:val="11"/>
        </w:rPr>
        <w:t xml:space="preserve">o </w:t>
      </w:r>
      <w:r>
        <w:rPr>
          <w:rStyle w:val="CharStyle12"/>
          <w:sz w:val="11"/>
          <w:szCs w:val="11"/>
          <w:lang w:val="en-US" w:eastAsia="en-US" w:bidi="en-US"/>
        </w:rPr>
        <w:t xml:space="preserve">&gt; </w:t>
      </w:r>
      <w:r>
        <w:rPr>
          <w:rStyle w:val="CharStyle12"/>
          <w:sz w:val="11"/>
          <w:szCs w:val="11"/>
        </w:rPr>
        <w:t xml:space="preserve">D A D </w:t>
      </w:r>
      <w:r>
        <w:rPr>
          <w:rStyle w:val="CharStyle12"/>
          <w:sz w:val="11"/>
          <w:szCs w:val="11"/>
          <w:lang w:val="en-US" w:eastAsia="en-US" w:bidi="en-US"/>
        </w:rPr>
        <w:t xml:space="preserve">E DE </w:t>
      </w:r>
      <w:r>
        <w:rPr>
          <w:rStyle w:val="CharStyle12"/>
          <w:b/>
          <w:bCs/>
        </w:rPr>
        <w:t xml:space="preserve">DEPARTAMENTO </w:t>
      </w:r>
      <w:r>
        <w:rPr>
          <w:rStyle w:val="CharStyle12"/>
          <w:b/>
          <w:bCs/>
          <w:lang w:val="en-US" w:eastAsia="en-US" w:bidi="en-US"/>
        </w:rPr>
        <w:t xml:space="preserve">DE </w:t>
      </w:r>
      <w:r>
        <w:rPr>
          <w:rStyle w:val="CharStyle12"/>
          <w:b/>
          <w:bCs/>
        </w:rPr>
        <w:t xml:space="preserve">PLANEJAMENTO </w:t>
      </w:r>
      <w:r>
        <w:rPr>
          <w:rStyle w:val="CharStyle12"/>
          <w:b/>
          <w:bCs/>
          <w:lang w:val="en-US" w:eastAsia="en-US" w:bidi="en-US"/>
        </w:rPr>
        <w:t xml:space="preserve">DA </w:t>
      </w:r>
      <w:r>
        <w:rPr>
          <w:rStyle w:val="CharStyle12"/>
          <w:b/>
          <w:bCs/>
        </w:rPr>
        <w:t xml:space="preserve">EDUCAÇÃO </w:t>
      </w:r>
      <w:r>
        <w:rPr>
          <w:rStyle w:val="CharStyle12"/>
          <w:b/>
          <w:bCs/>
          <w:lang w:val="en-US" w:eastAsia="en-US" w:bidi="en-US"/>
        </w:rPr>
        <w:t>GUARULHOS</w:t>
      </w:r>
      <w:bookmarkEnd w:id="6"/>
    </w:p>
    <w:tbl>
      <w:tblPr>
        <w:tblOverlap w:val="never"/>
        <w:jc w:val="center"/>
        <w:tblLayout w:type="fixed"/>
      </w:tblPr>
      <w:tblGrid>
        <w:gridCol w:w="3235"/>
        <w:gridCol w:w="2520"/>
        <w:gridCol w:w="1435"/>
        <w:gridCol w:w="365"/>
        <w:gridCol w:w="154"/>
        <w:gridCol w:w="2616"/>
      </w:tblGrid>
      <w:tr>
        <w:trPr>
          <w:trHeight w:val="58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Fontes de Recursos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Datas dos Repasses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Números dos Empenhos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Valores Transferidos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16/07/2024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101.098,88</w:t>
            </w:r>
          </w:p>
        </w:tc>
      </w:tr>
      <w:tr>
        <w:trPr>
          <w:trHeight w:val="58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</w:rPr>
              <w:t>31/07/2024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6272/2024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1.470,00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13/08/2024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970/2024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101.098,88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17/09/2024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16263/2024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45.510,24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</w:rPr>
              <w:t>17/09/2024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16264/2024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11.377,56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</w:rPr>
              <w:t>17/09/2024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16263/2024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both"/>
            </w:pPr>
            <w:r>
              <w:rPr>
                <w:rStyle w:val="CharStyle24"/>
                <w:color w:val="1E1E1E"/>
              </w:rPr>
              <w:t>123.246,48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</w:rPr>
              <w:t>16/10/2024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16263/2024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121.776,48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</w:rPr>
              <w:t>19/11/2024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18816/2024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both"/>
            </w:pPr>
            <w:r>
              <w:rPr>
                <w:rStyle w:val="CharStyle24"/>
                <w:color w:val="1E1E1E"/>
              </w:rPr>
              <w:t>121.776,48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  <w:lang w:val="pt-PT" w:eastAsia="pt-PT" w:bidi="pt-PT"/>
              </w:rPr>
              <w:t xml:space="preserve">BB </w:t>
            </w:r>
            <w:r>
              <w:rPr>
                <w:rStyle w:val="CharStyle24"/>
                <w:color w:val="1E1E1E"/>
              </w:rPr>
              <w:t xml:space="preserve">001 / </w:t>
            </w:r>
            <w:r>
              <w:rPr>
                <w:rStyle w:val="CharStyle24"/>
                <w:color w:val="1E1E1E"/>
                <w:lang w:val="pt-PT" w:eastAsia="pt-PT" w:bidi="pt-PT"/>
              </w:rPr>
              <w:t xml:space="preserve">AG: </w:t>
            </w:r>
            <w:r>
              <w:rPr>
                <w:rStyle w:val="CharStyle24"/>
                <w:color w:val="1E1E1E"/>
              </w:rPr>
              <w:t xml:space="preserve">7052-1 / </w:t>
            </w:r>
            <w:r>
              <w:rPr>
                <w:rStyle w:val="CharStyle24"/>
                <w:color w:val="1E1E1E"/>
                <w:lang w:val="pt-PT" w:eastAsia="pt-PT" w:bidi="pt-PT"/>
              </w:rPr>
              <w:t>CC:14.346-4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color w:val="1E1E1E"/>
              </w:rPr>
              <w:t>18/12/2024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18816/2024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both"/>
            </w:pPr>
            <w:r>
              <w:rPr>
                <w:rStyle w:val="CharStyle24"/>
                <w:color w:val="1E1E1E"/>
              </w:rPr>
              <w:t>121.776,48</w:t>
            </w:r>
          </w:p>
        </w:tc>
      </w:tr>
      <w:tr>
        <w:trPr>
          <w:trHeight w:val="322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Total do Repasse Municipal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1.475.764,93</w:t>
            </w:r>
          </w:p>
        </w:tc>
      </w:tr>
      <w:tr>
        <w:trPr>
          <w:trHeight w:val="182" w:hRule="exact"/>
        </w:trPr>
        <w:tc>
          <w:tcPr>
            <w:gridSpan w:val="6"/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(1)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Valor repassado no exercício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4"/>
              </w:rPr>
              <w:t>(=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both"/>
            </w:pPr>
            <w:r>
              <w:rPr>
                <w:rStyle w:val="CharStyle24"/>
                <w:color w:val="1E1E1E"/>
              </w:rPr>
              <w:t>1.475.764,93</w:t>
            </w:r>
          </w:p>
        </w:tc>
      </w:tr>
      <w:tr>
        <w:trPr>
          <w:trHeight w:val="33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(2)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Saldo transportado do exercício anterior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(+)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both"/>
            </w:pPr>
            <w:r>
              <w:rPr>
                <w:rStyle w:val="CharStyle24"/>
              </w:rPr>
              <w:t>126.656,66</w:t>
            </w:r>
          </w:p>
        </w:tc>
      </w:tr>
      <w:tr>
        <w:trPr>
          <w:trHeight w:val="326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(3)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Rendimento de aplicação financeira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</w:rPr>
              <w:t>(+)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7.479,68</w:t>
            </w:r>
          </w:p>
        </w:tc>
      </w:tr>
      <w:tr>
        <w:trPr>
          <w:trHeight w:val="331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(4)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 xml:space="preserve">Valor total da Receita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>(1+2+3)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(=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both"/>
            </w:pPr>
            <w:r>
              <w:rPr>
                <w:rStyle w:val="CharStyle24"/>
              </w:rPr>
              <w:t>1.609.901,27</w:t>
            </w:r>
          </w:p>
        </w:tc>
      </w:tr>
      <w:tr>
        <w:trPr>
          <w:trHeight w:val="331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(5)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Valor das despesas aprovadas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>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both"/>
            </w:pPr>
            <w:r>
              <w:rPr>
                <w:rStyle w:val="CharStyle24"/>
                <w:color w:val="1E1E1E"/>
              </w:rPr>
              <w:t>1.410.773,48</w:t>
            </w:r>
          </w:p>
        </w:tc>
      </w:tr>
      <w:tr>
        <w:trPr>
          <w:trHeight w:val="307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(6)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Valor glosado restituído pela entidade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4"/>
                <w:lang w:val="pt-PT" w:eastAsia="pt-PT" w:bidi="pt-PT"/>
              </w:rPr>
              <w:t>(-)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0,00</w:t>
            </w:r>
          </w:p>
        </w:tc>
      </w:tr>
      <w:tr>
        <w:trPr>
          <w:trHeight w:val="322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(7)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Saldo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(=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both"/>
            </w:pPr>
            <w:r>
              <w:rPr>
                <w:rStyle w:val="CharStyle24"/>
                <w:color w:val="1E1E1E"/>
              </w:rPr>
              <w:t>199.127,79</w:t>
            </w:r>
          </w:p>
        </w:tc>
      </w:tr>
      <w:tr>
        <w:trPr>
          <w:trHeight w:val="331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6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(8)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Valor glosado de exercício(s) anterior a devolver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(=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  <w:color w:val="1E1E1E"/>
              </w:rPr>
              <w:t>0,00</w:t>
            </w:r>
          </w:p>
        </w:tc>
      </w:tr>
      <w:tr>
        <w:trPr>
          <w:trHeight w:val="326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(9)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Valor glosado no exercício a devolver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(=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-7.300,43</w:t>
            </w:r>
          </w:p>
        </w:tc>
      </w:tr>
      <w:tr>
        <w:trPr>
          <w:trHeight w:val="346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4"/>
                <w:b/>
                <w:bCs/>
                <w:color w:val="1E1E1E"/>
                <w:sz w:val="20"/>
                <w:szCs w:val="20"/>
              </w:rPr>
              <w:t xml:space="preserve">(10) </w:t>
            </w:r>
            <w:r>
              <w:rPr>
                <w:rStyle w:val="CharStyle24"/>
                <w:b/>
                <w:bCs/>
                <w:color w:val="1E1E1E"/>
                <w:sz w:val="20"/>
                <w:szCs w:val="20"/>
                <w:lang w:val="pt-PT" w:eastAsia="pt-PT" w:bidi="pt-PT"/>
              </w:rPr>
              <w:t>Saldo não utilizado, transportado para o exercício seguinte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4"/>
              </w:rPr>
              <w:t>(=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both"/>
            </w:pPr>
            <w:r>
              <w:rPr>
                <w:rStyle w:val="CharStyle24"/>
                <w:color w:val="1E1E1E"/>
              </w:rPr>
              <w:t>191.827,36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86" w:lineRule="auto"/>
        <w:ind w:left="0" w:right="0" w:firstLine="0"/>
        <w:jc w:val="left"/>
      </w:pPr>
      <w:r>
        <w:rPr>
          <w:rStyle w:val="CharStyle6"/>
          <w:color w:val="1E1E1E"/>
          <w:lang w:val="en-US" w:eastAsia="en-US" w:bidi="en-US"/>
        </w:rPr>
        <w:t xml:space="preserve">VI - As </w:t>
      </w:r>
      <w:r>
        <w:rPr>
          <w:rStyle w:val="CharStyle6"/>
          <w:color w:val="1E1E1E"/>
        </w:rPr>
        <w:t xml:space="preserve">atividades desenvolvidas </w:t>
      </w:r>
      <w:r>
        <w:rPr>
          <w:rStyle w:val="CharStyle6"/>
          <w:color w:val="1E1E1E"/>
          <w:lang w:val="en-US" w:eastAsia="en-US" w:bidi="en-US"/>
        </w:rPr>
        <w:t xml:space="preserve">com os </w:t>
      </w:r>
      <w:r>
        <w:rPr>
          <w:rStyle w:val="CharStyle6"/>
          <w:color w:val="1E1E1E"/>
        </w:rPr>
        <w:t xml:space="preserve">recursos próprios </w:t>
      </w:r>
      <w:r>
        <w:rPr>
          <w:rStyle w:val="CharStyle6"/>
          <w:color w:val="1E1E1E"/>
          <w:lang w:val="en-US" w:eastAsia="en-US" w:bidi="en-US"/>
        </w:rPr>
        <w:t xml:space="preserve">e as </w:t>
      </w:r>
      <w:r>
        <w:rPr>
          <w:rStyle w:val="CharStyle6"/>
          <w:color w:val="1E1E1E"/>
        </w:rPr>
        <w:t>verbas públicas repassadas se compatibilizam com as metas propostas, bem como os resultados alcançados, cumprindo com o previsto no plano de trabalho.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71" w:lineRule="auto"/>
        <w:ind w:left="0" w:right="0" w:firstLine="0"/>
        <w:jc w:val="both"/>
      </w:pPr>
      <w:r>
        <w:rPr>
          <w:rStyle w:val="CharStyle6"/>
          <w:b/>
          <w:bCs/>
          <w:color w:val="1E1E1E"/>
          <w:sz w:val="20"/>
          <w:szCs w:val="20"/>
        </w:rPr>
        <w:t xml:space="preserve">(X) </w:t>
      </w:r>
      <w:r>
        <w:rPr>
          <w:rStyle w:val="CharStyle6"/>
          <w:color w:val="1E1E1E"/>
        </w:rPr>
        <w:t>Sim ( 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90" w:lineRule="auto"/>
        <w:ind w:left="0" w:right="0" w:firstLine="0"/>
        <w:jc w:val="both"/>
      </w:pPr>
      <w:r>
        <w:rPr>
          <w:rStyle w:val="CharStyle6"/>
          <w:color w:val="1E1E1E"/>
        </w:rPr>
        <w:t>VII - Que as partes cumpriram as cláusulas pactuadas no instrumento de parceria, atinentes aos princípios da administração pública, em conformidade com a regulação que rege a matéria.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6"/>
          <w:color w:val="1E1E1E"/>
        </w:rPr>
        <w:t>VIII - Que os gastos e a contabilização das receitas e das despesas estão regulares e perfeitos, segundo as normas brasileira de contabilidade para o terceiro setor, demonstrados no balancete e balanço patrimonial da Organização da Sociedade Civil parceira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86" w:lineRule="auto"/>
        <w:ind w:left="0" w:right="0" w:firstLine="0"/>
        <w:jc w:val="both"/>
      </w:pPr>
      <w:r>
        <w:rPr>
          <w:rStyle w:val="CharStyle6"/>
          <w:color w:val="1E1E1E"/>
        </w:rPr>
        <w:t>XI - Estão regulares e disponíveis, os recolhimentos dos encargos trabalhistas, relativos a folha de pagamento da equipe contratada, com ou sem vínculo empregatício, e comprovados mediante guias de recolhimentos autuadas ao processo de prestação de contas?</w:t>
      </w:r>
      <w:r>
        <w:br w:type="page"/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drawing>
          <wp:anchor distT="0" distB="527050" distL="410210" distR="290830" simplePos="0" relativeHeight="125829381" behindDoc="0" locked="0" layoutInCell="1" allowOverlap="1">
            <wp:simplePos x="0" y="0"/>
            <wp:positionH relativeFrom="page">
              <wp:posOffset>962660</wp:posOffset>
            </wp:positionH>
            <wp:positionV relativeFrom="margin">
              <wp:posOffset>-97790</wp:posOffset>
            </wp:positionV>
            <wp:extent cx="673735" cy="445135"/>
            <wp:wrapSquare wrapText="righ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ext cx="673735" cy="44513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87680" distB="0" distL="114300" distR="114300" simplePos="0" relativeHeight="125829382" behindDoc="0" locked="0" layoutInCell="1" allowOverlap="1">
                <wp:simplePos x="0" y="0"/>
                <wp:positionH relativeFrom="page">
                  <wp:posOffset>666750</wp:posOffset>
                </wp:positionH>
                <wp:positionV relativeFrom="margin">
                  <wp:posOffset>389890</wp:posOffset>
                </wp:positionV>
                <wp:extent cx="1146175" cy="484505"/>
                <wp:wrapSquare wrapText="right"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46175" cy="484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5"/>
                              </w:rPr>
                              <w:t>CIDADE DE</w:t>
                            </w:r>
                          </w:p>
                          <w:p>
                            <w:pPr>
                              <w:pStyle w:val="Style1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/>
                              <w:jc w:val="both"/>
                            </w:pPr>
                            <w:r>
                              <w:rPr>
                                <w:rStyle w:val="CharStyle17"/>
                                <w:b/>
                                <w:bCs/>
                              </w:rPr>
                              <w:t>GUARULHOS</w:t>
                            </w:r>
                          </w:p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6"/>
                                <w:b/>
                                <w:bCs/>
                                <w:color w:val="1E1E1E"/>
                                <w:sz w:val="20"/>
                                <w:szCs w:val="20"/>
                              </w:rPr>
                              <w:t xml:space="preserve">(X) </w:t>
                            </w:r>
                            <w:r>
                              <w:rPr>
                                <w:rStyle w:val="CharStyle6"/>
                              </w:rPr>
                              <w:t>Sim ( ) Não (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52.5pt;margin-top:30.699999999999999pt;width:90.25pt;height:38.149999999999999pt;z-index:-125829371;mso-wrap-distance-left:9.pt;mso-wrap-distance-top:38.399999999999999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5"/>
                        </w:rPr>
                        <w:t>CIDADE DE</w:t>
                      </w:r>
                    </w:p>
                    <w:p>
                      <w:pPr>
                        <w:pStyle w:val="Style1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/>
                        <w:jc w:val="both"/>
                      </w:pPr>
                      <w:r>
                        <w:rPr>
                          <w:rStyle w:val="CharStyle17"/>
                          <w:b/>
                          <w:bCs/>
                        </w:rPr>
                        <w:t>GUARULHOS</w:t>
                      </w:r>
                    </w:p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6"/>
                          <w:b/>
                          <w:bCs/>
                          <w:color w:val="1E1E1E"/>
                          <w:sz w:val="20"/>
                          <w:szCs w:val="20"/>
                        </w:rPr>
                        <w:t xml:space="preserve">(X) </w:t>
                      </w:r>
                      <w:r>
                        <w:rPr>
                          <w:rStyle w:val="CharStyle6"/>
                        </w:rPr>
                        <w:t>Sim ( ) Não (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bookmarkStart w:id="8" w:name="bookmark8"/>
      <w:r>
        <w:rPr>
          <w:rStyle w:val="CharStyle12"/>
          <w:b/>
          <w:bCs/>
        </w:rPr>
        <w:t>PREFEITURA DE GUARULHOS</w:t>
      </w:r>
      <w:bookmarkEnd w:id="8"/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2"/>
          <w:b/>
          <w:bCs/>
        </w:rPr>
        <w:t>SECRETARIA DE EDUCAÇÃO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both"/>
      </w:pPr>
      <w:r>
        <w:rPr>
          <w:rStyle w:val="CharStyle12"/>
          <w:b/>
          <w:bCs/>
        </w:rPr>
        <w:t>DEPARTAMENTO DE PLANEJAMENTO DA EDUCAÇÃO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240" w:after="240" w:line="29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384" behindDoc="0" locked="0" layoutInCell="1" allowOverlap="1">
                <wp:simplePos x="0" y="0"/>
                <wp:positionH relativeFrom="page">
                  <wp:posOffset>1861820</wp:posOffset>
                </wp:positionH>
                <wp:positionV relativeFrom="margin">
                  <wp:posOffset>707390</wp:posOffset>
                </wp:positionV>
                <wp:extent cx="868680" cy="161290"/>
                <wp:wrapTopAndBottom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68680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6"/>
                                <w:lang w:val="en-US" w:eastAsia="en-US" w:bidi="en-US"/>
                              </w:rPr>
                              <w:t xml:space="preserve">) </w:t>
                            </w:r>
                            <w:r>
                              <w:rPr>
                                <w:rStyle w:val="CharStyle6"/>
                              </w:rPr>
                              <w:t>Parcialmente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146.59999999999999pt;margin-top:55.700000000000003pt;width:68.400000000000006pt;height:12.700000000000001pt;z-index:-125829369;mso-wrap-distance-left:9.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6"/>
                          <w:lang w:val="en-US" w:eastAsia="en-US" w:bidi="en-US"/>
                        </w:rPr>
                        <w:t xml:space="preserve">) </w:t>
                      </w:r>
                      <w:r>
                        <w:rPr>
                          <w:rStyle w:val="CharStyle6"/>
                        </w:rPr>
                        <w:t>Parcialmente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6"/>
        </w:rPr>
        <w:t>X - Que os comprovantes de gastos contém a identificação da Organização da Sociedade Civil beneficiária, do tipo de cada repasse, do número de cada ajuste e deste Órgão concessor?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rStyle w:val="CharStyle6"/>
          <w:b/>
          <w:bCs/>
          <w:color w:val="1E1E1E"/>
          <w:sz w:val="20"/>
          <w:szCs w:val="20"/>
        </w:rPr>
        <w:t xml:space="preserve">(X) </w:t>
      </w:r>
      <w:r>
        <w:rPr>
          <w:rStyle w:val="CharStyle6"/>
          <w:color w:val="1E1E1E"/>
        </w:rPr>
        <w:t>Sim ( ) Não ( ) Parcialmente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98" w:lineRule="auto"/>
        <w:ind w:left="0" w:right="0" w:firstLine="0"/>
        <w:jc w:val="both"/>
      </w:pPr>
      <w:r>
        <w:rPr>
          <w:rStyle w:val="CharStyle6"/>
          <w:color w:val="1E1E1E"/>
        </w:rPr>
        <w:t xml:space="preserve">XIII - Que na sede da concedente existe e funciona o controle interno de forma regular, responsável pela fiscalização dos atos da administração pública, e tem como responsável o Sr.(a) Rodrigo Souza Santos, CPF n^ </w:t>
      </w:r>
      <w:r>
        <w:rPr>
          <w:rStyle w:val="CharStyle6"/>
          <w:color w:val="1E1E1E"/>
          <w:lang w:val="en-US" w:eastAsia="en-US" w:bidi="en-US"/>
        </w:rPr>
        <w:t>359.816.908-60.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95" w:lineRule="auto"/>
        <w:ind w:left="0" w:right="0" w:firstLine="0"/>
        <w:jc w:val="both"/>
      </w:pPr>
      <w:r>
        <w:rPr>
          <w:rStyle w:val="CharStyle6"/>
        </w:rPr>
        <w:t>XII - Que cada ajuste atende aos princípios da legalidade, impessoalidade, moralidade, publicidade, eficiência e economicidade, a motivação e ao interesse público e social.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90" w:lineRule="auto"/>
        <w:ind w:left="0" w:right="0" w:firstLine="0"/>
        <w:jc w:val="both"/>
      </w:pPr>
      <w:r>
        <w:rPr>
          <w:rStyle w:val="CharStyle6"/>
        </w:rPr>
        <w:t>XIV - Que houve visita(s) para fiscalizar, monitorar e avaliar o objeto, conforme relatório(s) de fiscalização, parte integrante do processo desta prestação de contas.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0"/>
        <w:jc w:val="both"/>
      </w:pPr>
      <w:r>
        <w:rPr>
          <w:rStyle w:val="CharStyle6"/>
        </w:rPr>
        <w:t>XV - Que eventual rateio administrativo de custos indiretos realizado pela entidade do Terceiro Setor foi verificado e avaliado pelo poder público, quanto à razoabilidade, pertinência com o objeto, proporcionalidade e adequação das despesas?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rStyle w:val="CharStyle6"/>
          <w:color w:val="1E1E1E"/>
          <w:lang w:val="en-US" w:eastAsia="en-US" w:bidi="en-US"/>
        </w:rPr>
        <w:t xml:space="preserve">( ) </w:t>
      </w:r>
      <w:r>
        <w:rPr>
          <w:rStyle w:val="CharStyle6"/>
          <w:color w:val="1E1E1E"/>
        </w:rPr>
        <w:t>Sim (X) Não ( ) Parcialmente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bookmarkStart w:id="12" w:name="bookmark12"/>
      <w:r>
        <w:rPr>
          <w:rStyle w:val="CharStyle12"/>
          <w:b/>
          <w:bCs/>
        </w:rPr>
        <w:t>Manifestação:</w:t>
      </w:r>
      <w:bookmarkEnd w:id="12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6"/>
        </w:rPr>
        <w:t xml:space="preserve">Diante da documentação verificada, emitimos Parecer Conclusivo favoravel a aprovação das despesas no valor de R$ </w:t>
      </w:r>
      <w:r>
        <w:rPr>
          <w:rStyle w:val="CharStyle6"/>
          <w:lang w:val="en-US" w:eastAsia="en-US" w:bidi="en-US"/>
        </w:rPr>
        <w:t xml:space="preserve">1.410.773,48, </w:t>
      </w:r>
      <w:r>
        <w:rPr>
          <w:rStyle w:val="CharStyle6"/>
        </w:rPr>
        <w:t xml:space="preserve">destacando que a quantia de R$ </w:t>
      </w:r>
      <w:r>
        <w:rPr>
          <w:rStyle w:val="CharStyle6"/>
          <w:lang w:val="en-US" w:eastAsia="en-US" w:bidi="en-US"/>
        </w:rPr>
        <w:t xml:space="preserve">191.827,36 </w:t>
      </w:r>
      <w:r>
        <w:rPr>
          <w:rStyle w:val="CharStyle6"/>
        </w:rPr>
        <w:t xml:space="preserve">foi transportada para o exercício de </w:t>
      </w:r>
      <w:r>
        <w:rPr>
          <w:rStyle w:val="CharStyle6"/>
          <w:lang w:val="en-US" w:eastAsia="en-US" w:bidi="en-US"/>
        </w:rPr>
        <w:t>2025.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76" w:lineRule="auto"/>
        <w:ind w:left="0" w:right="0" w:firstLine="0"/>
        <w:jc w:val="both"/>
      </w:pPr>
      <w:r>
        <w:rPr>
          <w:rStyle w:val="CharStyle6"/>
        </w:rPr>
        <w:t xml:space="preserve">O valor glosado de R$ </w:t>
      </w:r>
      <w:r>
        <w:rPr>
          <w:rStyle w:val="CharStyle6"/>
          <w:lang w:val="en-US" w:eastAsia="en-US" w:bidi="en-US"/>
        </w:rPr>
        <w:t xml:space="preserve">7.300,43 </w:t>
      </w:r>
      <w:r>
        <w:rPr>
          <w:rStyle w:val="CharStyle6"/>
        </w:rPr>
        <w:t>foi devolvido à conta específica do termo.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bookmarkStart w:id="14" w:name="bookmark14"/>
      <w:r>
        <w:rPr>
          <w:rStyle w:val="CharStyle12"/>
          <w:b/>
          <w:bCs/>
        </w:rPr>
        <w:t>CONCLUSÃO</w:t>
      </w:r>
      <w:bookmarkEnd w:id="14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  <w:rPr>
          <w:sz w:val="20"/>
          <w:szCs w:val="20"/>
        </w:rPr>
      </w:pPr>
      <w:r>
        <w:rPr>
          <w:rStyle w:val="CharStyle6"/>
          <w:color w:val="1E1E1E"/>
        </w:rPr>
        <w:t xml:space="preserve">Atesta a prestação de contas como </w:t>
      </w:r>
      <w:r>
        <w:rPr>
          <w:rStyle w:val="CharStyle6"/>
          <w:b/>
          <w:bCs/>
          <w:color w:val="1E1E1E"/>
          <w:sz w:val="20"/>
          <w:szCs w:val="20"/>
        </w:rPr>
        <w:t>Regular.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680" w:line="240" w:lineRule="auto"/>
        <w:ind w:left="0" w:right="0" w:firstLine="0"/>
        <w:jc w:val="left"/>
      </w:pPr>
      <w:r>
        <w:rPr>
          <w:rStyle w:val="CharStyle6"/>
        </w:rPr>
        <w:t xml:space="preserve">Guarulhos/SP, </w:t>
      </w:r>
      <w:r>
        <w:rPr>
          <w:rStyle w:val="CharStyle6"/>
          <w:lang w:val="en-US" w:eastAsia="en-US" w:bidi="en-US"/>
        </w:rPr>
        <w:t xml:space="preserve">16 </w:t>
      </w:r>
      <w:r>
        <w:rPr>
          <w:rStyle w:val="CharStyle6"/>
        </w:rPr>
        <w:t xml:space="preserve">de Abril de </w:t>
      </w:r>
      <w:r>
        <w:rPr>
          <w:rStyle w:val="CharStyle6"/>
          <w:lang w:val="en-US" w:eastAsia="en-US" w:bidi="en-US"/>
        </w:rPr>
        <w:t>2025.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6"/>
          <w:color w:val="1E1E1E"/>
        </w:rPr>
        <w:t xml:space="preserve">CPF </w:t>
      </w:r>
      <w:r>
        <w:rPr>
          <w:rStyle w:val="CharStyle6"/>
          <w:color w:val="1E1E1E"/>
          <w:lang w:val="en-US" w:eastAsia="en-US" w:bidi="en-US"/>
        </w:rPr>
        <w:t>103.033.268-16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0" w:right="0" w:firstLine="0"/>
        <w:jc w:val="center"/>
      </w:pPr>
      <w:r>
        <w:rPr>
          <w:rStyle w:val="CharStyle6"/>
          <w:color w:val="1E1E1E"/>
        </w:rPr>
        <w:t>Diretora de Departamento e Gestora da Parceria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1800" w:right="0" w:firstLine="0"/>
        <w:jc w:val="both"/>
      </w:pPr>
      <w:r>
        <w:rPr>
          <w:rStyle w:val="CharStyle6"/>
        </w:rPr>
        <w:t>De acordo: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drawing>
          <wp:anchor distT="0" distB="0" distL="114300" distR="114300" simplePos="0" relativeHeight="125829386" behindDoc="0" locked="0" layoutInCell="1" allowOverlap="1">
            <wp:simplePos x="0" y="0"/>
            <wp:positionH relativeFrom="page">
              <wp:posOffset>3684270</wp:posOffset>
            </wp:positionH>
            <wp:positionV relativeFrom="margin">
              <wp:posOffset>7833360</wp:posOffset>
            </wp:positionV>
            <wp:extent cx="514985" cy="545465"/>
            <wp:wrapSquare wrapText="left"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ext cx="514985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" w:name="bookmark16"/>
      <w:r>
        <w:rPr>
          <w:rStyle w:val="CharStyle12"/>
          <w:b/>
          <w:bCs/>
        </w:rPr>
        <w:t>Sílvio Rodrigues</w:t>
      </w:r>
      <w:bookmarkEnd w:id="16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r>
        <w:rPr>
          <w:rStyle w:val="CharStyle6"/>
          <w:color w:val="1E1E1E"/>
        </w:rPr>
        <w:t>Secretário de Educação</w:t>
      </w:r>
    </w:p>
    <w:p>
      <w:pPr>
        <w:pStyle w:val="Style3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r>
        <w:rPr>
          <w:rStyle w:val="CharStyle33"/>
          <w:b/>
          <w:bCs/>
        </w:rPr>
        <w:t xml:space="preserve">Proposta(s): </w:t>
      </w:r>
      <w:r>
        <w:rPr>
          <w:rStyle w:val="CharStyle33"/>
          <w:b/>
          <w:bCs/>
          <w:lang w:val="en-US" w:eastAsia="en-US" w:bidi="en-US"/>
        </w:rPr>
        <w:t>0101/2024</w:t>
      </w:r>
    </w:p>
    <w:sectPr>
      <w:footnotePr>
        <w:pos w:val="pageBottom"/>
        <w:numFmt w:val="decimal"/>
        <w:numRestart w:val="continuous"/>
      </w:footnotePr>
      <w:pgSz w:w="11909" w:h="16838"/>
      <w:pgMar w:top="610" w:right="511" w:bottom="683" w:left="1024" w:header="182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6784340</wp:posOffset>
              </wp:positionH>
              <wp:positionV relativeFrom="page">
                <wp:posOffset>10473055</wp:posOffset>
              </wp:positionV>
              <wp:extent cx="414655" cy="11303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130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9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9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9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534.20000000000005pt;margin-top:824.64999999999998pt;width:32.649999999999999pt;height:8.9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9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9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9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z w:val="11"/>
      <w:szCs w:val="11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9">
    <w:name w:val="Char Style 9"/>
    <w:basedOn w:val="DefaultParagraphFont"/>
    <w:link w:val="Style8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2">
    <w:name w:val="Char Style 12"/>
    <w:basedOn w:val="DefaultParagraphFont"/>
    <w:link w:val="Style11"/>
    <w:rPr>
      <w:rFonts w:ascii="Arial" w:eastAsia="Arial" w:hAnsi="Arial" w:cs="Arial"/>
      <w:b/>
      <w:bCs/>
      <w:i w:val="0"/>
      <w:iCs w:val="0"/>
      <w:smallCaps w:val="0"/>
      <w:strike w:val="0"/>
      <w:color w:val="1E1E1E"/>
      <w:sz w:val="20"/>
      <w:szCs w:val="20"/>
      <w:u w:val="none"/>
    </w:rPr>
  </w:style>
  <w:style w:type="character" w:customStyle="1" w:styleId="CharStyle15">
    <w:name w:val="Char Style 15"/>
    <w:basedOn w:val="DefaultParagraphFont"/>
    <w:link w:val="Style14"/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z w:val="11"/>
      <w:szCs w:val="11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/>
      <w:bCs/>
      <w:i w:val="0"/>
      <w:iCs w:val="0"/>
      <w:smallCaps w:val="0"/>
      <w:strike w:val="0"/>
      <w:color w:val="1E1E1E"/>
      <w:sz w:val="22"/>
      <w:szCs w:val="22"/>
      <w:u w:val="none"/>
    </w:rPr>
  </w:style>
  <w:style w:type="character" w:customStyle="1" w:styleId="CharStyle20">
    <w:name w:val="Char Style 20"/>
    <w:basedOn w:val="DefaultParagraphFont"/>
    <w:link w:val="Style19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24">
    <w:name w:val="Char Style 24"/>
    <w:basedOn w:val="DefaultParagraphFont"/>
    <w:link w:val="Style23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CharStyle28">
    <w:name w:val="Char Style 28"/>
    <w:basedOn w:val="DefaultParagraphFont"/>
    <w:link w:val="Style27"/>
    <w:rPr>
      <w:rFonts w:ascii="Arial" w:eastAsia="Arial" w:hAnsi="Arial" w:cs="Arial"/>
      <w:b w:val="0"/>
      <w:bCs w:val="0"/>
      <w:i w:val="0"/>
      <w:iCs w:val="0"/>
      <w:smallCaps/>
      <w:strike w:val="0"/>
      <w:color w:val="1E1E1E"/>
      <w:sz w:val="28"/>
      <w:szCs w:val="28"/>
      <w:u w:val="none"/>
      <w:lang w:val="en-US" w:eastAsia="en-US" w:bidi="en-US"/>
    </w:rPr>
  </w:style>
  <w:style w:type="character" w:customStyle="1" w:styleId="CharStyle33">
    <w:name w:val="Char Style 33"/>
    <w:basedOn w:val="DefaultParagraphFont"/>
    <w:link w:val="Style32"/>
    <w:rPr>
      <w:rFonts w:ascii="Arial" w:eastAsia="Arial" w:hAnsi="Arial" w:cs="Arial"/>
      <w:b/>
      <w:bCs/>
      <w:i w:val="0"/>
      <w:iCs w:val="0"/>
      <w:smallCaps w:val="0"/>
      <w:strike w:val="0"/>
      <w:color w:val="1E1E1E"/>
      <w:sz w:val="16"/>
      <w:szCs w:val="16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228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z w:val="11"/>
      <w:szCs w:val="11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220" w:line="283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  <w:spacing w:after="100"/>
      <w:outlineLvl w:val="1"/>
    </w:pPr>
    <w:rPr>
      <w:rFonts w:ascii="Arial" w:eastAsia="Arial" w:hAnsi="Arial" w:cs="Arial"/>
      <w:b/>
      <w:bCs/>
      <w:i w:val="0"/>
      <w:iCs w:val="0"/>
      <w:smallCaps w:val="0"/>
      <w:strike w:val="0"/>
      <w:color w:val="1E1E1E"/>
      <w:sz w:val="20"/>
      <w:szCs w:val="20"/>
      <w:u w:val="none"/>
    </w:rPr>
  </w:style>
  <w:style w:type="paragraph" w:customStyle="1" w:styleId="Style14">
    <w:name w:val="Style 14"/>
    <w:basedOn w:val="Normal"/>
    <w:link w:val="CharStyle15"/>
    <w:pPr>
      <w:widowControl w:val="0"/>
      <w:shd w:val="clear" w:color="auto" w:fill="auto"/>
      <w:jc w:val="right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1E1E1E"/>
      <w:sz w:val="11"/>
      <w:szCs w:val="11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after="120" w:line="218" w:lineRule="auto"/>
      <w:ind w:firstLine="240"/>
    </w:pPr>
    <w:rPr>
      <w:rFonts w:ascii="Arial" w:eastAsia="Arial" w:hAnsi="Arial" w:cs="Arial"/>
      <w:b/>
      <w:bCs/>
      <w:i w:val="0"/>
      <w:iCs w:val="0"/>
      <w:smallCaps w:val="0"/>
      <w:strike w:val="0"/>
      <w:color w:val="1E1E1E"/>
      <w:sz w:val="22"/>
      <w:szCs w:val="22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  <w:spacing w:after="6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23">
    <w:name w:val="Style 23"/>
    <w:basedOn w:val="Normal"/>
    <w:link w:val="CharStyle24"/>
    <w:pPr>
      <w:widowControl w:val="0"/>
      <w:shd w:val="clear" w:color="auto" w:fill="auto"/>
      <w:spacing w:after="220" w:line="283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paragraph" w:customStyle="1" w:styleId="Style27">
    <w:name w:val="Style 27"/>
    <w:basedOn w:val="Normal"/>
    <w:link w:val="CharStyle28"/>
    <w:pPr>
      <w:widowControl w:val="0"/>
      <w:shd w:val="clear" w:color="auto" w:fill="auto"/>
      <w:ind w:firstLine="500"/>
      <w:outlineLvl w:val="0"/>
    </w:pPr>
    <w:rPr>
      <w:rFonts w:ascii="Arial" w:eastAsia="Arial" w:hAnsi="Arial" w:cs="Arial"/>
      <w:b w:val="0"/>
      <w:bCs w:val="0"/>
      <w:i w:val="0"/>
      <w:iCs w:val="0"/>
      <w:smallCaps/>
      <w:strike w:val="0"/>
      <w:color w:val="1E1E1E"/>
      <w:sz w:val="28"/>
      <w:szCs w:val="28"/>
      <w:u w:val="none"/>
      <w:lang w:val="en-US" w:eastAsia="en-US" w:bidi="en-US"/>
    </w:rPr>
  </w:style>
  <w:style w:type="paragraph" w:customStyle="1" w:styleId="Style32">
    <w:name w:val="Style 32"/>
    <w:basedOn w:val="Normal"/>
    <w:link w:val="CharStyle33"/>
    <w:pPr>
      <w:widowControl w:val="0"/>
      <w:shd w:val="clear" w:color="auto" w:fill="auto"/>
      <w:spacing w:after="240"/>
      <w:jc w:val="right"/>
    </w:pPr>
    <w:rPr>
      <w:rFonts w:ascii="Arial" w:eastAsia="Arial" w:hAnsi="Arial" w:cs="Arial"/>
      <w:b/>
      <w:bCs/>
      <w:i w:val="0"/>
      <w:iCs w:val="0"/>
      <w:smallCaps w:val="0"/>
      <w:strike w:val="0"/>
      <w:color w:val="1E1E1E"/>
      <w:sz w:val="16"/>
      <w:szCs w:val="1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footer" Target="footer1.xml"/><Relationship Id="rId8" Type="http://schemas.openxmlformats.org/officeDocument/2006/relationships/image" Target="media/image2.png"/><Relationship Id="rId9" Type="http://schemas.openxmlformats.org/officeDocument/2006/relationships/image" Target="media/image2.png" TargetMode="External"/><Relationship Id="rId10" Type="http://schemas.openxmlformats.org/officeDocument/2006/relationships/image" Target="media/image3.jpeg"/><Relationship Id="rId11" Type="http://schemas.openxmlformats.org/officeDocument/2006/relationships/image" Target="media/image3.jpeg" TargetMode="External"/></Relationships>
</file>